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1DC75F">
      <w:pPr>
        <w:spacing w:line="560" w:lineRule="exact"/>
        <w:rPr>
          <w:rFonts w:ascii="仿宋_GB2312" w:hAnsi="仿宋_GB2312" w:eastAsia="仿宋_GB2312"/>
          <w:sz w:val="32"/>
        </w:rPr>
      </w:pPr>
      <w:r>
        <w:rPr>
          <w:rFonts w:ascii="仿宋_GB2312" w:hAnsi="仿宋_GB2312" w:eastAsia="仿宋_GB2312"/>
          <w:sz w:val="32"/>
        </w:rPr>
        <w:t>附件2：</w:t>
      </w:r>
    </w:p>
    <w:p w14:paraId="0D4D76AE">
      <w:pPr>
        <w:spacing w:line="560" w:lineRule="exact"/>
        <w:jc w:val="center"/>
        <w:rPr>
          <w:rFonts w:eastAsia="仿宋_GB2312"/>
          <w:color w:val="FF0000"/>
          <w:sz w:val="28"/>
          <w:szCs w:val="28"/>
        </w:rPr>
      </w:pPr>
      <w:r>
        <w:rPr>
          <w:rFonts w:hint="eastAsia" w:ascii="方正小标宋简体" w:hAnsi="仿宋_GB2312" w:eastAsia="方正小标宋简体"/>
          <w:sz w:val="44"/>
          <w:szCs w:val="44"/>
        </w:rPr>
        <w:t>河南农业大学</w:t>
      </w:r>
      <w:r>
        <w:rPr>
          <w:rFonts w:ascii="方正小标宋简体" w:hAnsi="仿宋_GB2312" w:eastAsia="方正小标宋简体"/>
          <w:sz w:val="44"/>
          <w:szCs w:val="44"/>
        </w:rPr>
        <w:t>2027年</w:t>
      </w:r>
      <w:r>
        <w:rPr>
          <w:rFonts w:hint="eastAsia" w:ascii="方正小标宋简体" w:hAnsi="仿宋_GB2312" w:eastAsia="方正小标宋简体"/>
          <w:sz w:val="44"/>
          <w:szCs w:val="44"/>
        </w:rPr>
        <w:t>硕士研究生招生自命题科目考试大纲</w:t>
      </w:r>
    </w:p>
    <w:p w14:paraId="6FCE9D0B">
      <w:pPr>
        <w:spacing w:line="560" w:lineRule="exact"/>
        <w:jc w:val="left"/>
        <w:rPr>
          <w:rFonts w:ascii="黑体" w:hAnsi="黑体" w:eastAsia="黑体"/>
          <w:sz w:val="40"/>
        </w:rPr>
      </w:pPr>
      <w:r>
        <w:rPr>
          <w:rFonts w:hint="eastAsia" w:ascii="黑体" w:hAnsi="黑体" w:eastAsia="黑体"/>
          <w:color w:val="000000"/>
          <w:sz w:val="28"/>
          <w:szCs w:val="28"/>
        </w:rPr>
        <w:t>一、</w:t>
      </w:r>
      <w:r>
        <w:rPr>
          <w:rFonts w:ascii="黑体" w:hAnsi="黑体" w:eastAsia="黑体"/>
          <w:color w:val="000000"/>
          <w:sz w:val="28"/>
          <w:szCs w:val="28"/>
        </w:rPr>
        <w:t>考试基本信息</w:t>
      </w:r>
    </w:p>
    <w:p w14:paraId="646B92CC">
      <w:pPr>
        <w:widowControl/>
        <w:numPr>
          <w:ilvl w:val="0"/>
          <w:numId w:val="1"/>
        </w:numPr>
        <w:spacing w:before="93" w:beforeLines="30" w:line="300" w:lineRule="auto"/>
        <w:ind w:left="0" w:firstLine="442" w:firstLineChars="200"/>
        <w:jc w:val="left"/>
        <w:rPr>
          <w:rFonts w:eastAsia="仿宋_GB2312"/>
          <w:b/>
          <w:bCs/>
          <w:color w:val="000000"/>
          <w:sz w:val="22"/>
          <w:szCs w:val="28"/>
        </w:rPr>
      </w:pPr>
      <w:r>
        <w:rPr>
          <w:rStyle w:val="6"/>
          <w:rFonts w:eastAsia="仿宋_GB2312"/>
          <w:color w:val="000000"/>
          <w:sz w:val="22"/>
          <w:szCs w:val="28"/>
        </w:rPr>
        <w:t>科目代码</w:t>
      </w:r>
      <w:r>
        <w:rPr>
          <w:rFonts w:eastAsia="仿宋_GB2312"/>
          <w:b/>
          <w:bCs/>
          <w:color w:val="000000"/>
          <w:sz w:val="22"/>
          <w:szCs w:val="28"/>
        </w:rPr>
        <w:t>：</w:t>
      </w:r>
      <w:r>
        <w:rPr>
          <w:rFonts w:hint="eastAsia" w:eastAsia="仿宋_GB2312"/>
          <w:b/>
          <w:bCs/>
          <w:color w:val="000000"/>
          <w:sz w:val="22"/>
          <w:szCs w:val="28"/>
        </w:rPr>
        <w:t>833</w:t>
      </w:r>
    </w:p>
    <w:p w14:paraId="0DEB9A38">
      <w:pPr>
        <w:widowControl/>
        <w:numPr>
          <w:ilvl w:val="0"/>
          <w:numId w:val="1"/>
        </w:numPr>
        <w:spacing w:before="93" w:beforeLines="30" w:line="300" w:lineRule="auto"/>
        <w:ind w:left="0" w:firstLine="442" w:firstLineChars="200"/>
        <w:jc w:val="left"/>
        <w:rPr>
          <w:rFonts w:eastAsia="仿宋_GB2312"/>
          <w:b/>
          <w:bCs/>
          <w:color w:val="000000"/>
          <w:sz w:val="22"/>
          <w:szCs w:val="28"/>
        </w:rPr>
      </w:pPr>
      <w:r>
        <w:rPr>
          <w:rStyle w:val="6"/>
          <w:rFonts w:eastAsia="仿宋_GB2312"/>
          <w:color w:val="000000"/>
          <w:sz w:val="22"/>
          <w:szCs w:val="28"/>
        </w:rPr>
        <w:t>科目名称</w:t>
      </w:r>
      <w:r>
        <w:rPr>
          <w:rFonts w:eastAsia="仿宋_GB2312"/>
          <w:b/>
          <w:bCs/>
          <w:color w:val="000000"/>
          <w:sz w:val="22"/>
          <w:szCs w:val="28"/>
        </w:rPr>
        <w:t>：</w:t>
      </w:r>
      <w:r>
        <w:rPr>
          <w:rFonts w:hint="eastAsia" w:eastAsia="仿宋_GB2312"/>
          <w:b/>
          <w:bCs/>
          <w:color w:val="000000"/>
          <w:sz w:val="22"/>
          <w:szCs w:val="28"/>
        </w:rPr>
        <w:t>农业工程概论</w:t>
      </w:r>
    </w:p>
    <w:p w14:paraId="2287FE5C">
      <w:pPr>
        <w:widowControl/>
        <w:numPr>
          <w:ilvl w:val="0"/>
          <w:numId w:val="1"/>
        </w:numPr>
        <w:spacing w:before="93" w:beforeLines="30" w:line="300" w:lineRule="auto"/>
        <w:ind w:left="0" w:firstLine="442" w:firstLineChars="200"/>
        <w:jc w:val="left"/>
        <w:rPr>
          <w:rFonts w:eastAsia="仿宋_GB2312"/>
          <w:b/>
          <w:bCs/>
          <w:color w:val="000000"/>
          <w:sz w:val="22"/>
          <w:szCs w:val="28"/>
        </w:rPr>
      </w:pPr>
      <w:r>
        <w:rPr>
          <w:rStyle w:val="6"/>
          <w:rFonts w:hint="eastAsia" w:eastAsia="仿宋_GB2312"/>
          <w:color w:val="000000"/>
          <w:sz w:val="22"/>
          <w:szCs w:val="28"/>
        </w:rPr>
        <w:t>考试目的</w:t>
      </w:r>
      <w:r>
        <w:rPr>
          <w:rFonts w:eastAsia="仿宋_GB2312"/>
          <w:b/>
          <w:bCs/>
          <w:color w:val="000000"/>
          <w:sz w:val="22"/>
          <w:szCs w:val="28"/>
        </w:rPr>
        <w:t>：</w:t>
      </w:r>
      <w:r>
        <w:rPr>
          <w:rFonts w:ascii="仿宋_GB2312" w:eastAsia="仿宋_GB2312"/>
          <w:color w:val="000000"/>
          <w:sz w:val="22"/>
          <w:szCs w:val="32"/>
        </w:rPr>
        <w:t>重点考查考生对农业物料的工程性质、农业机械化、农村电气化及农业应用电子技术、农业建筑与农业生物环境工程、农田水土控制、农产品加工工程和农业系统工程等核心知识的理解程度，检验考生基本理论、专业方法的掌握深度与广度。考核考生运用专业知识解决复杂农业工程技术问题的能力，评价是否具备攻读硕士学位所需的专业基础、逻辑思维与工程素养，评价标准参照优秀本科毕业生应达到的专业水平。</w:t>
      </w:r>
    </w:p>
    <w:p w14:paraId="5635C2BF">
      <w:pPr>
        <w:pStyle w:val="9"/>
        <w:numPr>
          <w:ilvl w:val="0"/>
          <w:numId w:val="2"/>
        </w:numPr>
        <w:spacing w:line="560" w:lineRule="exact"/>
        <w:ind w:firstLineChars="0"/>
        <w:jc w:val="left"/>
        <w:rPr>
          <w:rFonts w:ascii="黑体" w:hAnsi="黑体" w:eastAsia="黑体"/>
          <w:color w:val="000000"/>
          <w:sz w:val="28"/>
          <w:szCs w:val="28"/>
        </w:rPr>
      </w:pPr>
      <w:r>
        <w:rPr>
          <w:rFonts w:ascii="黑体" w:hAnsi="黑体" w:eastAsia="黑体"/>
          <w:color w:val="000000"/>
          <w:sz w:val="28"/>
          <w:szCs w:val="28"/>
        </w:rPr>
        <w:t>考试形式与试卷结构</w:t>
      </w:r>
    </w:p>
    <w:p w14:paraId="677D037C">
      <w:pPr>
        <w:widowControl/>
        <w:spacing w:before="93" w:beforeLines="30" w:line="300" w:lineRule="auto"/>
        <w:ind w:firstLine="440" w:firstLineChars="200"/>
        <w:jc w:val="left"/>
        <w:rPr>
          <w:rFonts w:ascii="仿宋_GB2312" w:eastAsia="仿宋_GB2312"/>
          <w:color w:val="000000"/>
          <w:sz w:val="22"/>
          <w:szCs w:val="28"/>
        </w:rPr>
      </w:pPr>
      <w:r>
        <w:rPr>
          <w:rFonts w:hint="eastAsia" w:ascii="仿宋_GB2312" w:eastAsia="仿宋_GB2312"/>
          <w:color w:val="000000"/>
          <w:sz w:val="22"/>
          <w:szCs w:val="28"/>
        </w:rPr>
        <w:t>1.</w:t>
      </w:r>
      <w:r>
        <w:rPr>
          <w:rFonts w:ascii="仿宋_GB2312" w:eastAsia="仿宋_GB2312"/>
          <w:color w:val="000000"/>
          <w:sz w:val="22"/>
          <w:szCs w:val="28"/>
        </w:rPr>
        <w:t>考试方式：闭卷、笔试</w:t>
      </w:r>
    </w:p>
    <w:p w14:paraId="41FB8DAE">
      <w:pPr>
        <w:widowControl/>
        <w:spacing w:before="93" w:beforeLines="30" w:line="300" w:lineRule="auto"/>
        <w:ind w:firstLine="440" w:firstLineChars="200"/>
        <w:jc w:val="left"/>
        <w:rPr>
          <w:rFonts w:ascii="仿宋_GB2312" w:eastAsia="仿宋_GB2312"/>
          <w:color w:val="000000"/>
          <w:sz w:val="22"/>
          <w:szCs w:val="28"/>
        </w:rPr>
      </w:pPr>
      <w:r>
        <w:rPr>
          <w:rFonts w:hint="eastAsia" w:ascii="仿宋_GB2312" w:eastAsia="仿宋_GB2312"/>
          <w:color w:val="000000"/>
          <w:sz w:val="22"/>
          <w:szCs w:val="28"/>
        </w:rPr>
        <w:t>2</w:t>
      </w:r>
      <w:r>
        <w:rPr>
          <w:rFonts w:ascii="仿宋_GB2312" w:eastAsia="仿宋_GB2312"/>
          <w:color w:val="000000"/>
          <w:sz w:val="22"/>
          <w:szCs w:val="28"/>
        </w:rPr>
        <w:t>.考试时长：180 分钟</w:t>
      </w:r>
    </w:p>
    <w:p w14:paraId="6A7719AF">
      <w:pPr>
        <w:widowControl/>
        <w:spacing w:before="93" w:beforeLines="30" w:line="300" w:lineRule="auto"/>
        <w:ind w:firstLine="440" w:firstLineChars="200"/>
        <w:jc w:val="left"/>
        <w:rPr>
          <w:rFonts w:ascii="仿宋_GB2312" w:eastAsia="仿宋_GB2312"/>
          <w:color w:val="000000"/>
          <w:sz w:val="22"/>
          <w:szCs w:val="28"/>
        </w:rPr>
      </w:pPr>
      <w:r>
        <w:rPr>
          <w:rFonts w:hint="eastAsia" w:ascii="仿宋_GB2312" w:eastAsia="仿宋_GB2312"/>
          <w:color w:val="000000"/>
          <w:sz w:val="22"/>
          <w:szCs w:val="28"/>
        </w:rPr>
        <w:t>3</w:t>
      </w:r>
      <w:r>
        <w:rPr>
          <w:rFonts w:ascii="仿宋_GB2312" w:eastAsia="仿宋_GB2312"/>
          <w:color w:val="000000"/>
          <w:sz w:val="22"/>
          <w:szCs w:val="28"/>
        </w:rPr>
        <w:t>.试卷满分：150 分</w:t>
      </w:r>
    </w:p>
    <w:p w14:paraId="762147BB">
      <w:pPr>
        <w:widowControl/>
        <w:spacing w:before="93" w:beforeLines="30" w:line="300" w:lineRule="auto"/>
        <w:ind w:firstLine="440" w:firstLineChars="200"/>
        <w:jc w:val="left"/>
        <w:rPr>
          <w:rFonts w:ascii="仿宋_GB2312" w:eastAsia="仿宋_GB2312"/>
          <w:color w:val="000000"/>
          <w:sz w:val="22"/>
          <w:szCs w:val="28"/>
        </w:rPr>
      </w:pPr>
      <w:r>
        <w:rPr>
          <w:rFonts w:hint="eastAsia" w:ascii="仿宋_GB2312" w:eastAsia="仿宋_GB2312"/>
          <w:color w:val="000000"/>
          <w:sz w:val="22"/>
          <w:szCs w:val="28"/>
        </w:rPr>
        <w:t>4</w:t>
      </w:r>
      <w:r>
        <w:rPr>
          <w:rFonts w:ascii="仿宋_GB2312" w:eastAsia="仿宋_GB2312"/>
          <w:color w:val="000000"/>
          <w:sz w:val="22"/>
          <w:szCs w:val="28"/>
        </w:rPr>
        <w:t>.考试题型及比例：</w:t>
      </w:r>
      <w:r>
        <w:rPr>
          <w:rFonts w:hint="eastAsia" w:ascii="仿宋_GB2312" w:eastAsia="仿宋_GB2312"/>
          <w:color w:val="000000"/>
          <w:sz w:val="22"/>
          <w:szCs w:val="28"/>
        </w:rPr>
        <w:t>名词解释、简答题、论述题</w:t>
      </w:r>
    </w:p>
    <w:p w14:paraId="75C9C61E">
      <w:pPr>
        <w:widowControl/>
        <w:tabs>
          <w:tab w:val="left" w:pos="720"/>
        </w:tabs>
        <w:spacing w:before="93" w:beforeLines="30" w:line="300" w:lineRule="auto"/>
        <w:jc w:val="left"/>
        <w:rPr>
          <w:rFonts w:ascii="黑体" w:hAnsi="黑体" w:eastAsia="黑体"/>
          <w:color w:val="000000"/>
          <w:sz w:val="28"/>
          <w:szCs w:val="28"/>
        </w:rPr>
      </w:pPr>
      <w:r>
        <w:rPr>
          <w:rFonts w:hint="eastAsia" w:ascii="黑体" w:hAnsi="黑体" w:eastAsia="黑体"/>
          <w:color w:val="000000"/>
          <w:sz w:val="28"/>
          <w:szCs w:val="28"/>
        </w:rPr>
        <w:t>三、考试内容与要求</w:t>
      </w:r>
    </w:p>
    <w:p w14:paraId="4D71EAAD">
      <w:pPr>
        <w:spacing w:line="360" w:lineRule="auto"/>
        <w:rPr>
          <w:rFonts w:ascii="黑体" w:hAnsi="黑体" w:eastAsia="黑体" w:cs="黑体"/>
          <w:sz w:val="24"/>
        </w:rPr>
      </w:pPr>
      <w:r>
        <w:rPr>
          <w:rFonts w:hint="eastAsia" w:ascii="黑体" w:hAnsi="黑体" w:eastAsia="黑体" w:cs="黑体"/>
          <w:sz w:val="24"/>
        </w:rPr>
        <w:t>考试内容</w:t>
      </w:r>
    </w:p>
    <w:p w14:paraId="2D17982A">
      <w:pPr>
        <w:spacing w:line="360" w:lineRule="auto"/>
        <w:rPr>
          <w:rFonts w:ascii="仿宋_GB2312" w:eastAsia="仿宋_GB2312"/>
          <w:color w:val="000000"/>
          <w:sz w:val="22"/>
          <w:szCs w:val="32"/>
        </w:rPr>
      </w:pPr>
      <w:r>
        <w:rPr>
          <w:rFonts w:hint="eastAsia" w:ascii="仿宋_GB2312" w:eastAsia="仿宋_GB2312"/>
          <w:color w:val="000000"/>
          <w:sz w:val="22"/>
          <w:szCs w:val="32"/>
        </w:rPr>
        <w:t>1．农业物料的工程性质</w:t>
      </w:r>
    </w:p>
    <w:p w14:paraId="1F999DCA">
      <w:pPr>
        <w:spacing w:line="360" w:lineRule="auto"/>
        <w:rPr>
          <w:rFonts w:ascii="仿宋_GB2312" w:eastAsia="仿宋_GB2312"/>
          <w:color w:val="000000"/>
          <w:sz w:val="22"/>
          <w:szCs w:val="32"/>
        </w:rPr>
      </w:pPr>
      <w:r>
        <w:rPr>
          <w:rFonts w:hint="eastAsia" w:ascii="仿宋_GB2312" w:eastAsia="仿宋_GB2312"/>
          <w:color w:val="000000"/>
          <w:sz w:val="22"/>
          <w:szCs w:val="32"/>
        </w:rPr>
        <w:t xml:space="preserve"> </w:t>
      </w:r>
      <w:r>
        <w:rPr>
          <w:rFonts w:ascii="仿宋_GB2312" w:eastAsia="仿宋_GB2312"/>
          <w:color w:val="000000"/>
          <w:sz w:val="22"/>
          <w:szCs w:val="32"/>
        </w:rPr>
        <w:t xml:space="preserve">  </w:t>
      </w:r>
      <w:r>
        <w:rPr>
          <w:rFonts w:hint="eastAsia" w:ascii="仿宋_GB2312" w:eastAsia="仿宋_GB2312"/>
          <w:color w:val="000000"/>
          <w:sz w:val="22"/>
          <w:szCs w:val="32"/>
        </w:rPr>
        <w:t>内容：农业物料工程性质的重要意义，农业物料的形态特征、机械特性、热特性，农业土壤的工程性质。</w:t>
      </w:r>
    </w:p>
    <w:p w14:paraId="3889FBB4">
      <w:pPr>
        <w:spacing w:line="360" w:lineRule="auto"/>
        <w:rPr>
          <w:rFonts w:ascii="仿宋_GB2312" w:eastAsia="仿宋_GB2312"/>
          <w:color w:val="000000"/>
          <w:sz w:val="22"/>
          <w:szCs w:val="32"/>
        </w:rPr>
      </w:pPr>
      <w:r>
        <w:rPr>
          <w:rFonts w:hint="eastAsia" w:ascii="仿宋_GB2312" w:eastAsia="仿宋_GB2312"/>
          <w:color w:val="000000"/>
          <w:sz w:val="22"/>
          <w:szCs w:val="32"/>
        </w:rPr>
        <w:t>2．农业机械化</w:t>
      </w:r>
    </w:p>
    <w:p w14:paraId="03CD18C5">
      <w:pPr>
        <w:spacing w:line="360" w:lineRule="auto"/>
        <w:rPr>
          <w:rFonts w:ascii="仿宋_GB2312" w:eastAsia="仿宋_GB2312"/>
          <w:color w:val="000000"/>
          <w:sz w:val="22"/>
          <w:szCs w:val="32"/>
        </w:rPr>
      </w:pPr>
      <w:r>
        <w:rPr>
          <w:rFonts w:hint="eastAsia" w:ascii="仿宋_GB2312" w:eastAsia="仿宋_GB2312"/>
          <w:color w:val="000000"/>
          <w:sz w:val="22"/>
          <w:szCs w:val="32"/>
        </w:rPr>
        <w:t xml:space="preserve"> </w:t>
      </w:r>
      <w:r>
        <w:rPr>
          <w:rFonts w:ascii="仿宋_GB2312" w:eastAsia="仿宋_GB2312"/>
          <w:color w:val="000000"/>
          <w:sz w:val="22"/>
          <w:szCs w:val="32"/>
        </w:rPr>
        <w:t xml:space="preserve">  </w:t>
      </w:r>
      <w:r>
        <w:rPr>
          <w:rFonts w:hint="eastAsia" w:ascii="仿宋_GB2312" w:eastAsia="仿宋_GB2312"/>
          <w:color w:val="000000"/>
          <w:sz w:val="22"/>
          <w:szCs w:val="32"/>
        </w:rPr>
        <w:t>内容：农业机械化概念、实现条件、发展战略，农业机械化在发展农业生产和推动社会进步中的作用，机械化农业作业项目，农业机械的基本类型。</w:t>
      </w:r>
    </w:p>
    <w:p w14:paraId="63DEBB75">
      <w:pPr>
        <w:spacing w:line="360" w:lineRule="auto"/>
        <w:rPr>
          <w:rFonts w:ascii="仿宋_GB2312" w:eastAsia="仿宋_GB2312"/>
          <w:color w:val="000000"/>
          <w:sz w:val="22"/>
          <w:szCs w:val="32"/>
        </w:rPr>
      </w:pPr>
      <w:r>
        <w:rPr>
          <w:rFonts w:hint="eastAsia" w:ascii="仿宋_GB2312" w:eastAsia="仿宋_GB2312"/>
          <w:color w:val="000000"/>
          <w:sz w:val="22"/>
          <w:szCs w:val="32"/>
        </w:rPr>
        <w:t>3．农村电气化及农业应用电子技术</w:t>
      </w:r>
    </w:p>
    <w:p w14:paraId="28448057">
      <w:pPr>
        <w:spacing w:line="360" w:lineRule="auto"/>
        <w:rPr>
          <w:rFonts w:ascii="仿宋_GB2312" w:eastAsia="仿宋_GB2312"/>
          <w:color w:val="000000"/>
          <w:sz w:val="22"/>
          <w:szCs w:val="32"/>
        </w:rPr>
      </w:pPr>
      <w:r>
        <w:rPr>
          <w:rFonts w:hint="eastAsia" w:ascii="仿宋_GB2312" w:eastAsia="仿宋_GB2312"/>
          <w:color w:val="000000"/>
          <w:sz w:val="22"/>
          <w:szCs w:val="32"/>
        </w:rPr>
        <w:t xml:space="preserve"> </w:t>
      </w:r>
      <w:r>
        <w:rPr>
          <w:rFonts w:ascii="仿宋_GB2312" w:eastAsia="仿宋_GB2312"/>
          <w:color w:val="000000"/>
          <w:sz w:val="22"/>
          <w:szCs w:val="32"/>
        </w:rPr>
        <w:t xml:space="preserve">  </w:t>
      </w:r>
      <w:r>
        <w:rPr>
          <w:rFonts w:hint="eastAsia" w:ascii="仿宋_GB2312" w:eastAsia="仿宋_GB2312"/>
          <w:color w:val="000000"/>
          <w:sz w:val="22"/>
          <w:szCs w:val="32"/>
        </w:rPr>
        <w:t>内容：农村电气化在农村经济发展中的作用，农业应用电子技术。</w:t>
      </w:r>
    </w:p>
    <w:p w14:paraId="18100CF7">
      <w:pPr>
        <w:spacing w:line="360" w:lineRule="auto"/>
        <w:rPr>
          <w:rFonts w:ascii="仿宋_GB2312" w:eastAsia="仿宋_GB2312"/>
          <w:color w:val="000000"/>
          <w:sz w:val="22"/>
          <w:szCs w:val="32"/>
        </w:rPr>
      </w:pPr>
      <w:r>
        <w:rPr>
          <w:rFonts w:hint="eastAsia" w:ascii="仿宋_GB2312" w:eastAsia="仿宋_GB2312"/>
          <w:color w:val="000000"/>
          <w:sz w:val="22"/>
          <w:szCs w:val="32"/>
        </w:rPr>
        <w:t>4．农业建筑与农业生物环境工程</w:t>
      </w:r>
    </w:p>
    <w:p w14:paraId="22264835">
      <w:pPr>
        <w:spacing w:line="360" w:lineRule="auto"/>
        <w:rPr>
          <w:rFonts w:ascii="仿宋_GB2312" w:eastAsia="仿宋_GB2312"/>
          <w:color w:val="000000"/>
          <w:sz w:val="22"/>
          <w:szCs w:val="32"/>
        </w:rPr>
      </w:pPr>
      <w:r>
        <w:rPr>
          <w:rFonts w:hint="eastAsia" w:ascii="仿宋_GB2312" w:eastAsia="仿宋_GB2312"/>
          <w:color w:val="000000"/>
          <w:sz w:val="22"/>
          <w:szCs w:val="32"/>
        </w:rPr>
        <w:t xml:space="preserve"> </w:t>
      </w:r>
      <w:r>
        <w:rPr>
          <w:rFonts w:ascii="仿宋_GB2312" w:eastAsia="仿宋_GB2312"/>
          <w:color w:val="000000"/>
          <w:sz w:val="22"/>
          <w:szCs w:val="32"/>
        </w:rPr>
        <w:t xml:space="preserve">  </w:t>
      </w:r>
      <w:r>
        <w:rPr>
          <w:rFonts w:hint="eastAsia" w:ascii="仿宋_GB2312" w:eastAsia="仿宋_GB2312"/>
          <w:color w:val="000000"/>
          <w:sz w:val="22"/>
          <w:szCs w:val="32"/>
        </w:rPr>
        <w:t>内容：农业建筑的类型和基本组成，农业生物环境工程研究的内容和特点，温室建筑与环境工程，禽畜建筑与环境工程，果蔬贮藏保鲜建筑与环境工程。</w:t>
      </w:r>
    </w:p>
    <w:p w14:paraId="4CD9268D">
      <w:pPr>
        <w:spacing w:line="360" w:lineRule="auto"/>
        <w:rPr>
          <w:rFonts w:ascii="仿宋_GB2312" w:eastAsia="仿宋_GB2312"/>
          <w:color w:val="000000"/>
          <w:sz w:val="22"/>
          <w:szCs w:val="32"/>
        </w:rPr>
      </w:pPr>
      <w:r>
        <w:rPr>
          <w:rFonts w:hint="eastAsia" w:ascii="仿宋_GB2312" w:eastAsia="仿宋_GB2312"/>
          <w:color w:val="000000"/>
          <w:sz w:val="22"/>
          <w:szCs w:val="32"/>
        </w:rPr>
        <w:t>5．农田水土控制</w:t>
      </w:r>
    </w:p>
    <w:p w14:paraId="2A74DB66">
      <w:pPr>
        <w:spacing w:line="360" w:lineRule="auto"/>
        <w:rPr>
          <w:rFonts w:ascii="仿宋_GB2312" w:eastAsia="仿宋_GB2312"/>
          <w:color w:val="000000"/>
          <w:sz w:val="22"/>
          <w:szCs w:val="32"/>
        </w:rPr>
      </w:pPr>
      <w:r>
        <w:rPr>
          <w:rFonts w:hint="eastAsia" w:ascii="仿宋_GB2312" w:eastAsia="仿宋_GB2312"/>
          <w:color w:val="000000"/>
          <w:sz w:val="22"/>
          <w:szCs w:val="32"/>
        </w:rPr>
        <w:t xml:space="preserve"> </w:t>
      </w:r>
      <w:r>
        <w:rPr>
          <w:rFonts w:ascii="仿宋_GB2312" w:eastAsia="仿宋_GB2312"/>
          <w:color w:val="000000"/>
          <w:sz w:val="22"/>
          <w:szCs w:val="32"/>
        </w:rPr>
        <w:t xml:space="preserve">  </w:t>
      </w:r>
      <w:r>
        <w:rPr>
          <w:rFonts w:hint="eastAsia" w:ascii="仿宋_GB2312" w:eastAsia="仿宋_GB2312"/>
          <w:color w:val="000000"/>
          <w:sz w:val="22"/>
          <w:szCs w:val="32"/>
        </w:rPr>
        <w:t>内容：我国农业水土资源的基本情况，农业土壤水分状况及水分运动，作物需水量和土壤水分调节，农田灌溉与排水。</w:t>
      </w:r>
    </w:p>
    <w:p w14:paraId="1B8FFFCD">
      <w:pPr>
        <w:spacing w:line="360" w:lineRule="auto"/>
        <w:rPr>
          <w:rFonts w:ascii="仿宋_GB2312" w:eastAsia="仿宋_GB2312"/>
          <w:color w:val="000000"/>
          <w:sz w:val="22"/>
          <w:szCs w:val="32"/>
        </w:rPr>
      </w:pPr>
      <w:r>
        <w:rPr>
          <w:rFonts w:hint="eastAsia" w:ascii="仿宋_GB2312" w:eastAsia="仿宋_GB2312"/>
          <w:color w:val="000000"/>
          <w:sz w:val="22"/>
          <w:szCs w:val="32"/>
        </w:rPr>
        <w:t>6．农产品加工工程</w:t>
      </w:r>
    </w:p>
    <w:p w14:paraId="27C9D535">
      <w:pPr>
        <w:spacing w:line="360" w:lineRule="auto"/>
        <w:rPr>
          <w:rFonts w:ascii="仿宋_GB2312" w:eastAsia="仿宋_GB2312"/>
          <w:color w:val="000000"/>
          <w:sz w:val="22"/>
          <w:szCs w:val="32"/>
        </w:rPr>
      </w:pPr>
      <w:r>
        <w:rPr>
          <w:rFonts w:hint="eastAsia" w:ascii="仿宋_GB2312" w:eastAsia="仿宋_GB2312"/>
          <w:color w:val="000000"/>
          <w:sz w:val="22"/>
          <w:szCs w:val="32"/>
        </w:rPr>
        <w:t xml:space="preserve"> </w:t>
      </w:r>
      <w:r>
        <w:rPr>
          <w:rFonts w:ascii="仿宋_GB2312" w:eastAsia="仿宋_GB2312"/>
          <w:color w:val="000000"/>
          <w:sz w:val="22"/>
          <w:szCs w:val="32"/>
        </w:rPr>
        <w:t xml:space="preserve">  </w:t>
      </w:r>
      <w:r>
        <w:rPr>
          <w:rFonts w:hint="eastAsia" w:ascii="仿宋_GB2312" w:eastAsia="仿宋_GB2312"/>
          <w:color w:val="000000"/>
          <w:sz w:val="22"/>
          <w:szCs w:val="32"/>
        </w:rPr>
        <w:t>内容：农产品加工工艺与流程，农产品原料预处理的分离与分选。</w:t>
      </w:r>
    </w:p>
    <w:p w14:paraId="362271AF">
      <w:pPr>
        <w:spacing w:line="360" w:lineRule="auto"/>
        <w:rPr>
          <w:rFonts w:ascii="仿宋_GB2312" w:eastAsia="仿宋_GB2312"/>
          <w:color w:val="000000"/>
          <w:sz w:val="22"/>
          <w:szCs w:val="32"/>
        </w:rPr>
      </w:pPr>
      <w:r>
        <w:rPr>
          <w:rFonts w:hint="eastAsia" w:ascii="仿宋_GB2312" w:eastAsia="仿宋_GB2312"/>
          <w:color w:val="000000"/>
          <w:sz w:val="22"/>
          <w:szCs w:val="32"/>
        </w:rPr>
        <w:t>7．农业环境保护与农村能源</w:t>
      </w:r>
    </w:p>
    <w:p w14:paraId="1B134189">
      <w:pPr>
        <w:spacing w:line="360" w:lineRule="auto"/>
        <w:rPr>
          <w:rFonts w:ascii="仿宋_GB2312" w:eastAsia="仿宋_GB2312"/>
          <w:color w:val="000000"/>
          <w:sz w:val="22"/>
          <w:szCs w:val="32"/>
        </w:rPr>
      </w:pPr>
      <w:r>
        <w:rPr>
          <w:rFonts w:hint="eastAsia" w:ascii="仿宋_GB2312" w:eastAsia="仿宋_GB2312"/>
          <w:color w:val="000000"/>
          <w:sz w:val="22"/>
          <w:szCs w:val="32"/>
        </w:rPr>
        <w:t xml:space="preserve"> </w:t>
      </w:r>
      <w:r>
        <w:rPr>
          <w:rFonts w:ascii="仿宋_GB2312" w:eastAsia="仿宋_GB2312"/>
          <w:color w:val="000000"/>
          <w:sz w:val="22"/>
          <w:szCs w:val="32"/>
        </w:rPr>
        <w:t xml:space="preserve">  </w:t>
      </w:r>
      <w:r>
        <w:rPr>
          <w:rFonts w:hint="eastAsia" w:ascii="仿宋_GB2312" w:eastAsia="仿宋_GB2312"/>
          <w:color w:val="000000"/>
          <w:sz w:val="22"/>
          <w:szCs w:val="32"/>
        </w:rPr>
        <w:t>内容：农业环境质量恶化的因素及其危害，农业环境保护与治理，农村能源。</w:t>
      </w:r>
    </w:p>
    <w:p w14:paraId="715F900F">
      <w:pPr>
        <w:spacing w:line="360" w:lineRule="auto"/>
        <w:rPr>
          <w:rFonts w:ascii="仿宋_GB2312" w:eastAsia="仿宋_GB2312"/>
          <w:color w:val="000000"/>
          <w:sz w:val="22"/>
          <w:szCs w:val="32"/>
        </w:rPr>
      </w:pPr>
      <w:r>
        <w:rPr>
          <w:rFonts w:hint="eastAsia" w:ascii="仿宋_GB2312" w:eastAsia="仿宋_GB2312"/>
          <w:color w:val="000000"/>
          <w:sz w:val="22"/>
          <w:szCs w:val="32"/>
        </w:rPr>
        <w:t>8．农业系统工程</w:t>
      </w:r>
    </w:p>
    <w:p w14:paraId="39B0B96A">
      <w:pPr>
        <w:spacing w:line="360" w:lineRule="auto"/>
        <w:rPr>
          <w:rFonts w:ascii="仿宋_GB2312" w:eastAsia="仿宋_GB2312"/>
          <w:color w:val="000000"/>
          <w:sz w:val="22"/>
          <w:szCs w:val="32"/>
        </w:rPr>
      </w:pPr>
      <w:r>
        <w:rPr>
          <w:rFonts w:hint="eastAsia" w:ascii="仿宋_GB2312" w:eastAsia="仿宋_GB2312"/>
          <w:color w:val="000000"/>
          <w:sz w:val="22"/>
          <w:szCs w:val="32"/>
        </w:rPr>
        <w:t xml:space="preserve"> </w:t>
      </w:r>
      <w:r>
        <w:rPr>
          <w:rFonts w:ascii="仿宋_GB2312" w:eastAsia="仿宋_GB2312"/>
          <w:color w:val="000000"/>
          <w:sz w:val="22"/>
          <w:szCs w:val="32"/>
        </w:rPr>
        <w:t xml:space="preserve">  </w:t>
      </w:r>
      <w:r>
        <w:rPr>
          <w:rFonts w:hint="eastAsia" w:ascii="仿宋_GB2312" w:eastAsia="仿宋_GB2312"/>
          <w:color w:val="000000"/>
          <w:sz w:val="22"/>
          <w:szCs w:val="32"/>
        </w:rPr>
        <w:t>内容：系统、农业系统、农业工程系统概念，系统工程的基本逻辑过程和方法。</w:t>
      </w:r>
    </w:p>
    <w:p w14:paraId="6EED9405">
      <w:pPr>
        <w:spacing w:line="360" w:lineRule="auto"/>
        <w:rPr>
          <w:rFonts w:ascii="黑体" w:hAnsi="黑体" w:eastAsia="黑体" w:cs="黑体"/>
          <w:sz w:val="24"/>
        </w:rPr>
      </w:pPr>
      <w:r>
        <w:rPr>
          <w:rFonts w:hint="eastAsia" w:ascii="黑体" w:hAnsi="黑体" w:eastAsia="黑体" w:cs="黑体"/>
          <w:sz w:val="24"/>
        </w:rPr>
        <w:t>考试要求</w:t>
      </w:r>
    </w:p>
    <w:p w14:paraId="4D8C15A5">
      <w:pPr>
        <w:spacing w:line="360" w:lineRule="auto"/>
        <w:ind w:firstLine="440" w:firstLineChars="200"/>
        <w:rPr>
          <w:rFonts w:ascii="仿宋_GB2312" w:eastAsia="仿宋_GB2312"/>
          <w:color w:val="000000"/>
          <w:sz w:val="22"/>
          <w:szCs w:val="32"/>
        </w:rPr>
      </w:pPr>
      <w:r>
        <w:rPr>
          <w:rFonts w:hint="eastAsia" w:ascii="仿宋_GB2312" w:eastAsia="仿宋_GB2312"/>
          <w:color w:val="000000"/>
          <w:sz w:val="22"/>
          <w:szCs w:val="32"/>
        </w:rPr>
        <w:t>《农业工程概论》是农业工程专业的一门基础理论课程，主要阐述传统工程技术与农业生物因素、环境因素、社会因素、经济因素之间相互关系。内容包括农业物料、农业机械、电气电子技术在农业上的应用、农田灌溉与排水、农产品加工、农业建筑等。要求学生了解和掌握农业工程的基本概念、基本常识和基本方法。</w:t>
      </w:r>
    </w:p>
    <w:p w14:paraId="6D8B7B58">
      <w:pPr>
        <w:spacing w:line="360" w:lineRule="auto"/>
        <w:rPr>
          <w:rFonts w:ascii="黑体" w:hAnsi="黑体" w:eastAsia="黑体"/>
          <w:color w:val="000000"/>
          <w:sz w:val="28"/>
          <w:szCs w:val="28"/>
        </w:rPr>
      </w:pPr>
      <w:r>
        <w:rPr>
          <w:rFonts w:hint="eastAsia" w:ascii="黑体" w:hAnsi="黑体" w:eastAsia="黑体"/>
          <w:color w:val="000000"/>
          <w:sz w:val="28"/>
          <w:szCs w:val="28"/>
        </w:rPr>
        <w:t>四、</w:t>
      </w:r>
      <w:r>
        <w:rPr>
          <w:rFonts w:ascii="黑体" w:hAnsi="黑体" w:eastAsia="黑体"/>
          <w:color w:val="000000"/>
          <w:sz w:val="28"/>
          <w:szCs w:val="28"/>
        </w:rPr>
        <w:t>参考书目</w:t>
      </w:r>
    </w:p>
    <w:p w14:paraId="0B5D4534">
      <w:pPr>
        <w:widowControl/>
        <w:spacing w:before="93" w:beforeLines="30" w:line="300" w:lineRule="auto"/>
        <w:ind w:firstLine="440" w:firstLineChars="200"/>
        <w:jc w:val="left"/>
        <w:rPr>
          <w:rFonts w:ascii="仿宋_GB2312" w:eastAsia="仿宋_GB2312"/>
          <w:color w:val="000000"/>
          <w:sz w:val="22"/>
          <w:szCs w:val="32"/>
        </w:rPr>
      </w:pPr>
      <w:r>
        <w:rPr>
          <w:rFonts w:hint="eastAsia" w:ascii="仿宋_GB2312" w:eastAsia="仿宋_GB2312"/>
          <w:color w:val="000000"/>
          <w:sz w:val="22"/>
          <w:szCs w:val="32"/>
        </w:rPr>
        <w:t>张伟，《农业工程概论》，中国农业出版社，</w:t>
      </w:r>
      <w:r>
        <w:rPr>
          <w:rFonts w:ascii="仿宋_GB2312" w:eastAsia="仿宋_GB2312"/>
          <w:color w:val="000000"/>
          <w:sz w:val="22"/>
          <w:szCs w:val="32"/>
        </w:rPr>
        <w:t>1997.05</w:t>
      </w:r>
    </w:p>
    <w:p w14:paraId="20981C14">
      <w:pPr>
        <w:rPr>
          <w:rFonts w:eastAsia="仿宋_GB2312"/>
          <w:color w:val="000000"/>
          <w:sz w:val="22"/>
          <w:szCs w:val="28"/>
        </w:rPr>
      </w:pPr>
      <w:r>
        <w:rPr>
          <w:rFonts w:hint="eastAsia" w:eastAsia="仿宋_GB2312"/>
          <w:color w:val="000000"/>
          <w:sz w:val="22"/>
          <w:szCs w:val="28"/>
        </w:rPr>
        <w:t xml:space="preserve"> </w:t>
      </w:r>
      <w:r>
        <w:rPr>
          <w:rFonts w:eastAsia="仿宋_GB2312"/>
          <w:color w:val="000000"/>
          <w:sz w:val="22"/>
          <w:szCs w:val="28"/>
        </w:rPr>
        <w:t xml:space="preserve">                                                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9052A67"/>
    <w:multiLevelType w:val="multilevel"/>
    <w:tmpl w:val="09052A67"/>
    <w:lvl w:ilvl="0" w:tentative="0">
      <w:start w:val="2"/>
      <w:numFmt w:val="japaneseCounting"/>
      <w:lvlText w:val="%1、"/>
      <w:lvlJc w:val="left"/>
      <w:pPr>
        <w:ind w:left="570" w:hanging="57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3110AD22"/>
    <w:multiLevelType w:val="multilevel"/>
    <w:tmpl w:val="3110AD2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643"/>
        </w:tabs>
        <w:ind w:left="643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F6D"/>
    <w:rsid w:val="000656CB"/>
    <w:rsid w:val="0011708A"/>
    <w:rsid w:val="00144759"/>
    <w:rsid w:val="002B7068"/>
    <w:rsid w:val="003247D1"/>
    <w:rsid w:val="00343D84"/>
    <w:rsid w:val="00345CAA"/>
    <w:rsid w:val="004A32CE"/>
    <w:rsid w:val="00625C17"/>
    <w:rsid w:val="006A00F2"/>
    <w:rsid w:val="00742327"/>
    <w:rsid w:val="00790F6D"/>
    <w:rsid w:val="00805FF2"/>
    <w:rsid w:val="00A21142"/>
    <w:rsid w:val="00E30EF0"/>
    <w:rsid w:val="00F13888"/>
    <w:rsid w:val="09B44BAE"/>
    <w:rsid w:val="2DFE4210"/>
    <w:rsid w:val="7B051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0"/>
    <w:rPr>
      <w:b/>
      <w:bCs/>
    </w:rPr>
  </w:style>
  <w:style w:type="character" w:customStyle="1" w:styleId="7">
    <w:name w:val="页眉 字符"/>
    <w:basedOn w:val="5"/>
    <w:link w:val="3"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942</Words>
  <Characters>961</Characters>
  <Lines>8</Lines>
  <Paragraphs>2</Paragraphs>
  <TotalTime>15</TotalTime>
  <ScaleCrop>false</ScaleCrop>
  <LinksUpToDate>false</LinksUpToDate>
  <CharactersWithSpaces>1158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2026-08-15T03:31:00Z</dcterms:created>
  <dc:creator>DELL</dc:creator>
  <cp:lastModifiedBy>流氓兔</cp:lastModifiedBy>
  <dcterms:modified xsi:type="dcterms:W3CDTF">2026-10-10T03:47:35Z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eyJoZGlkIjoiYzg3ZmVjNjI1MzljOWViMDUxYmU4ZmRkOTcxYzFiYjgiLCJ1c2VySWQiOiIzOTE5NTM5MzQifQ==</vt:lpwstr>
  </property>
  <property fmtid="{D5CDD505-2E9C-101B-9397-08002B2CF9AE}" pid="3" name="KSOProductBuildVer">
    <vt:lpwstr>2052-12.1.0.28488</vt:lpwstr>
  </property>
  <property fmtid="{D5CDD505-2E9C-101B-9397-08002B2CF9AE}" pid="4" name="ICV">
    <vt:lpwstr>976EDE743B48499C93B9F62A862E7813_13</vt:lpwstr>
  </property>
</Properties>
</file>